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F0A" w:rsidRPr="00697DA8" w:rsidRDefault="00A25E77" w:rsidP="00697DA8">
      <w:pPr>
        <w:spacing w:line="480" w:lineRule="exact"/>
        <w:jc w:val="both"/>
        <w:rPr>
          <w:rFonts w:ascii="標楷體" w:eastAsia="標楷體" w:hAnsi="標楷體"/>
          <w:sz w:val="32"/>
          <w:szCs w:val="32"/>
        </w:rPr>
      </w:pPr>
      <w:r w:rsidRPr="00697DA8">
        <w:rPr>
          <w:rFonts w:ascii="標楷體" w:eastAsia="標楷體" w:hAnsi="標楷體" w:hint="eastAsia"/>
          <w:sz w:val="32"/>
          <w:szCs w:val="32"/>
        </w:rPr>
        <w:t>歐盟執委會公告啟動對我國晶矽太陽能模組及電池規避歐盟對中國大陸產品之反傾銷稅及平衡稅調查</w:t>
      </w:r>
      <w:r w:rsidR="00D72F0A" w:rsidRPr="00697DA8">
        <w:rPr>
          <w:rFonts w:ascii="標楷體" w:eastAsia="標楷體" w:hAnsi="標楷體" w:hint="eastAsia"/>
          <w:sz w:val="32"/>
          <w:szCs w:val="32"/>
        </w:rPr>
        <w:t>，</w:t>
      </w:r>
      <w:r w:rsidR="00661242" w:rsidRPr="00697DA8">
        <w:rPr>
          <w:rFonts w:ascii="標楷體" w:eastAsia="標楷體" w:hAnsi="標楷體" w:hint="eastAsia"/>
          <w:sz w:val="32"/>
          <w:szCs w:val="32"/>
        </w:rPr>
        <w:t>相關產品稅則號列為：</w:t>
      </w:r>
    </w:p>
    <w:p w:rsidR="00A25E77" w:rsidRDefault="00661242" w:rsidP="00697DA8">
      <w:pPr>
        <w:spacing w:line="480" w:lineRule="exact"/>
        <w:jc w:val="both"/>
        <w:rPr>
          <w:rFonts w:ascii="標楷體" w:eastAsia="標楷體" w:hAnsi="標楷體"/>
          <w:sz w:val="32"/>
          <w:szCs w:val="32"/>
        </w:rPr>
      </w:pPr>
      <w:r w:rsidRPr="00697DA8">
        <w:rPr>
          <w:rFonts w:ascii="標楷體" w:eastAsia="標楷體" w:hAnsi="標楷體" w:hint="eastAsia"/>
          <w:sz w:val="32"/>
          <w:szCs w:val="32"/>
        </w:rPr>
        <w:t>CN codes ex 8501</w:t>
      </w:r>
      <w:r w:rsidR="00044BD6" w:rsidRPr="00697DA8">
        <w:rPr>
          <w:rFonts w:ascii="標楷體" w:eastAsia="標楷體" w:hAnsi="標楷體" w:hint="eastAsia"/>
          <w:sz w:val="32"/>
          <w:szCs w:val="32"/>
        </w:rPr>
        <w:t xml:space="preserve"> </w:t>
      </w:r>
      <w:r w:rsidRPr="00697DA8">
        <w:rPr>
          <w:rFonts w:ascii="標楷體" w:eastAsia="標楷體" w:hAnsi="標楷體" w:hint="eastAsia"/>
          <w:sz w:val="32"/>
          <w:szCs w:val="32"/>
        </w:rPr>
        <w:t>31</w:t>
      </w:r>
      <w:r w:rsidR="00044BD6" w:rsidRPr="00697DA8">
        <w:rPr>
          <w:rFonts w:ascii="標楷體" w:eastAsia="標楷體" w:hAnsi="標楷體" w:hint="eastAsia"/>
          <w:sz w:val="32"/>
          <w:szCs w:val="32"/>
        </w:rPr>
        <w:t xml:space="preserve"> </w:t>
      </w:r>
      <w:r w:rsidRPr="00697DA8">
        <w:rPr>
          <w:rFonts w:ascii="標楷體" w:eastAsia="標楷體" w:hAnsi="標楷體" w:hint="eastAsia"/>
          <w:sz w:val="32"/>
          <w:szCs w:val="32"/>
        </w:rPr>
        <w:t>00、</w:t>
      </w:r>
      <w:r w:rsidR="00044BD6" w:rsidRPr="00697DA8">
        <w:rPr>
          <w:rFonts w:ascii="標楷體" w:eastAsia="標楷體" w:hAnsi="標楷體" w:hint="eastAsia"/>
          <w:sz w:val="32"/>
          <w:szCs w:val="32"/>
        </w:rPr>
        <w:t>ex 8501 32 00、ex 8501 33 00、ex 8501 34 00、ex 8501 61 20、ex 8501 61 80、ex 8501 62 00、ex 8501 63 00、ex 8501 64 00、</w:t>
      </w:r>
      <w:r w:rsidR="005A117B" w:rsidRPr="00697DA8">
        <w:rPr>
          <w:rFonts w:ascii="標楷體" w:eastAsia="標楷體" w:hAnsi="標楷體" w:hint="eastAsia"/>
          <w:sz w:val="32"/>
          <w:szCs w:val="32"/>
        </w:rPr>
        <w:t xml:space="preserve">ex </w:t>
      </w:r>
      <w:r w:rsidR="005A117B" w:rsidRPr="008D0068">
        <w:rPr>
          <w:rFonts w:ascii="標楷體" w:eastAsia="標楷體" w:hAnsi="標楷體" w:hint="eastAsia"/>
          <w:sz w:val="32"/>
          <w:szCs w:val="32"/>
        </w:rPr>
        <w:t>85</w:t>
      </w:r>
      <w:r w:rsidR="00F57072" w:rsidRPr="008D0068">
        <w:rPr>
          <w:rFonts w:ascii="標楷體" w:eastAsia="標楷體" w:hAnsi="標楷體" w:hint="eastAsia"/>
          <w:sz w:val="32"/>
          <w:szCs w:val="32"/>
        </w:rPr>
        <w:t>41</w:t>
      </w:r>
      <w:r w:rsidR="005A117B" w:rsidRPr="00697DA8">
        <w:rPr>
          <w:rFonts w:ascii="標楷體" w:eastAsia="標楷體" w:hAnsi="標楷體" w:hint="eastAsia"/>
          <w:sz w:val="32"/>
          <w:szCs w:val="32"/>
        </w:rPr>
        <w:t xml:space="preserve"> 40 90</w:t>
      </w:r>
      <w:r w:rsidR="00055517" w:rsidRPr="00697DA8">
        <w:rPr>
          <w:rFonts w:ascii="標楷體" w:eastAsia="標楷體" w:hAnsi="標楷體" w:hint="eastAsia"/>
          <w:sz w:val="32"/>
          <w:szCs w:val="32"/>
        </w:rPr>
        <w:t>。</w:t>
      </w:r>
    </w:p>
    <w:p w:rsidR="00697DA8" w:rsidRPr="00697DA8" w:rsidRDefault="00697DA8" w:rsidP="00697DA8">
      <w:pPr>
        <w:spacing w:line="480" w:lineRule="exact"/>
        <w:jc w:val="both"/>
        <w:rPr>
          <w:rFonts w:ascii="標楷體" w:eastAsia="標楷體" w:hAnsi="標楷體"/>
          <w:sz w:val="32"/>
          <w:szCs w:val="32"/>
        </w:rPr>
      </w:pPr>
    </w:p>
    <w:p w:rsidR="00D72F0A" w:rsidRPr="00697DA8" w:rsidRDefault="00055517" w:rsidP="00697DA8">
      <w:pPr>
        <w:spacing w:line="480" w:lineRule="exact"/>
        <w:jc w:val="both"/>
        <w:rPr>
          <w:rFonts w:ascii="標楷體" w:eastAsia="標楷體" w:hAnsi="標楷體"/>
          <w:sz w:val="32"/>
          <w:szCs w:val="32"/>
        </w:rPr>
      </w:pPr>
      <w:r w:rsidRPr="00697DA8">
        <w:rPr>
          <w:rFonts w:ascii="標楷體" w:eastAsia="標楷體" w:hAnsi="標楷體" w:hint="eastAsia"/>
          <w:sz w:val="32"/>
          <w:szCs w:val="32"/>
        </w:rPr>
        <w:t>以下類別產品排除：</w:t>
      </w:r>
    </w:p>
    <w:p w:rsidR="00D72F0A" w:rsidRPr="00697DA8" w:rsidRDefault="00055517" w:rsidP="00697DA8">
      <w:pPr>
        <w:pStyle w:val="a7"/>
        <w:numPr>
          <w:ilvl w:val="0"/>
          <w:numId w:val="1"/>
        </w:numPr>
        <w:spacing w:line="500" w:lineRule="exact"/>
        <w:ind w:leftChars="0" w:left="442" w:hanging="442"/>
        <w:jc w:val="both"/>
        <w:rPr>
          <w:rFonts w:ascii="標楷體" w:eastAsia="標楷體" w:hAnsi="標楷體"/>
          <w:sz w:val="32"/>
          <w:szCs w:val="32"/>
        </w:rPr>
      </w:pPr>
      <w:r w:rsidRPr="00697DA8">
        <w:rPr>
          <w:rFonts w:ascii="標楷體" w:eastAsia="標楷體" w:hAnsi="標楷體" w:hint="eastAsia"/>
          <w:sz w:val="32"/>
          <w:szCs w:val="32"/>
        </w:rPr>
        <w:t>Solar chargers that consist of less than six cells, are portable and supply electricity to devices or charge batteries</w:t>
      </w:r>
      <w:r w:rsidR="00D72F0A" w:rsidRPr="00697DA8">
        <w:rPr>
          <w:rFonts w:ascii="標楷體" w:eastAsia="標楷體" w:hAnsi="標楷體" w:hint="eastAsia"/>
          <w:sz w:val="32"/>
          <w:szCs w:val="32"/>
        </w:rPr>
        <w:t>.</w:t>
      </w:r>
    </w:p>
    <w:p w:rsidR="00697DA8" w:rsidRDefault="00697DA8" w:rsidP="00697DA8">
      <w:pPr>
        <w:pStyle w:val="a7"/>
        <w:numPr>
          <w:ilvl w:val="0"/>
          <w:numId w:val="1"/>
        </w:numPr>
        <w:spacing w:line="500" w:lineRule="exact"/>
        <w:ind w:leftChars="0" w:left="442" w:hanging="442"/>
        <w:jc w:val="both"/>
        <w:rPr>
          <w:rFonts w:ascii="標楷體" w:eastAsia="標楷體" w:hAnsi="標楷體"/>
          <w:sz w:val="32"/>
          <w:szCs w:val="32"/>
        </w:rPr>
      </w:pPr>
      <w:r w:rsidRPr="00697DA8">
        <w:rPr>
          <w:rFonts w:ascii="標楷體" w:eastAsia="標楷體" w:hAnsi="標楷體"/>
          <w:sz w:val="32"/>
          <w:szCs w:val="32"/>
        </w:rPr>
        <w:t>T</w:t>
      </w:r>
      <w:r w:rsidRPr="00697DA8">
        <w:rPr>
          <w:rFonts w:ascii="標楷體" w:eastAsia="標楷體" w:hAnsi="標楷體" w:hint="eastAsia"/>
          <w:sz w:val="32"/>
          <w:szCs w:val="32"/>
        </w:rPr>
        <w:t xml:space="preserve">hin film </w:t>
      </w:r>
      <w:r w:rsidRPr="00697DA8">
        <w:rPr>
          <w:rFonts w:ascii="標楷體" w:eastAsia="標楷體" w:hAnsi="標楷體"/>
          <w:sz w:val="32"/>
          <w:szCs w:val="32"/>
        </w:rPr>
        <w:t>photovoltaic</w:t>
      </w:r>
      <w:r w:rsidRPr="00697DA8">
        <w:rPr>
          <w:rFonts w:ascii="標楷體" w:eastAsia="標楷體" w:hAnsi="標楷體" w:hint="eastAsia"/>
          <w:sz w:val="32"/>
          <w:szCs w:val="32"/>
        </w:rPr>
        <w:t xml:space="preserve"> products.</w:t>
      </w:r>
    </w:p>
    <w:p w:rsidR="00697DA8" w:rsidRDefault="00697DA8" w:rsidP="00697DA8">
      <w:pPr>
        <w:pStyle w:val="a7"/>
        <w:numPr>
          <w:ilvl w:val="0"/>
          <w:numId w:val="1"/>
        </w:numPr>
        <w:spacing w:line="500" w:lineRule="exact"/>
        <w:ind w:leftChars="0" w:left="442" w:hanging="442"/>
        <w:jc w:val="both"/>
        <w:rPr>
          <w:rFonts w:ascii="標楷體" w:eastAsia="標楷體" w:hAnsi="標楷體"/>
          <w:sz w:val="32"/>
          <w:szCs w:val="32"/>
        </w:rPr>
      </w:pPr>
      <w:r w:rsidRPr="00697DA8">
        <w:rPr>
          <w:rFonts w:ascii="標楷體" w:eastAsia="標楷體" w:hAnsi="標楷體"/>
          <w:sz w:val="32"/>
          <w:szCs w:val="32"/>
        </w:rPr>
        <w:t>C</w:t>
      </w:r>
      <w:r w:rsidRPr="00697DA8">
        <w:rPr>
          <w:rFonts w:ascii="標楷體" w:eastAsia="標楷體" w:hAnsi="標楷體" w:hint="eastAsia"/>
          <w:sz w:val="32"/>
          <w:szCs w:val="32"/>
        </w:rPr>
        <w:t>rystalline silicon photovoltaic products that are permanently integrated into electrical goods, where the function of the electrical goods is other than power generation, and where these electrical goods consume the electricity generated by the integrated crystalline silicon photovoltaic ce</w:t>
      </w:r>
      <w:r w:rsidR="00751831">
        <w:rPr>
          <w:rFonts w:ascii="標楷體" w:eastAsia="標楷體" w:hAnsi="標楷體" w:hint="eastAsia"/>
          <w:sz w:val="32"/>
          <w:szCs w:val="32"/>
        </w:rPr>
        <w:t>ll</w:t>
      </w:r>
      <w:r w:rsidRPr="00697DA8">
        <w:rPr>
          <w:rFonts w:ascii="標楷體" w:eastAsia="標楷體" w:hAnsi="標楷體" w:hint="eastAsia"/>
          <w:sz w:val="32"/>
          <w:szCs w:val="32"/>
        </w:rPr>
        <w:t>(s)</w:t>
      </w:r>
      <w:r>
        <w:rPr>
          <w:rFonts w:ascii="標楷體" w:eastAsia="標楷體" w:hAnsi="標楷體" w:hint="eastAsia"/>
          <w:sz w:val="32"/>
          <w:szCs w:val="32"/>
        </w:rPr>
        <w:t>.</w:t>
      </w:r>
    </w:p>
    <w:p w:rsidR="00697DA8" w:rsidRPr="00697DA8" w:rsidRDefault="00697DA8" w:rsidP="00697DA8">
      <w:pPr>
        <w:pStyle w:val="a7"/>
        <w:numPr>
          <w:ilvl w:val="0"/>
          <w:numId w:val="1"/>
        </w:numPr>
        <w:spacing w:line="500" w:lineRule="exact"/>
        <w:ind w:leftChars="0" w:left="442" w:hanging="442"/>
        <w:jc w:val="both"/>
        <w:rPr>
          <w:rFonts w:ascii="標楷體" w:eastAsia="標楷體" w:hAnsi="標楷體"/>
          <w:sz w:val="32"/>
          <w:szCs w:val="32"/>
        </w:rPr>
      </w:pPr>
      <w:r w:rsidRPr="00697DA8">
        <w:rPr>
          <w:rFonts w:ascii="標楷體" w:eastAsia="標楷體" w:hAnsi="標楷體"/>
          <w:sz w:val="32"/>
          <w:szCs w:val="32"/>
        </w:rPr>
        <w:t>M</w:t>
      </w:r>
      <w:r w:rsidRPr="00697DA8">
        <w:rPr>
          <w:rFonts w:ascii="標楷體" w:eastAsia="標楷體" w:hAnsi="標楷體" w:hint="eastAsia"/>
          <w:sz w:val="32"/>
          <w:szCs w:val="32"/>
        </w:rPr>
        <w:t>odules or panels with a output not voltage exceeding 50 V DC and a power output no</w:t>
      </w:r>
      <w:bookmarkStart w:id="0" w:name="_GoBack"/>
      <w:bookmarkEnd w:id="0"/>
      <w:r w:rsidRPr="00697DA8">
        <w:rPr>
          <w:rFonts w:ascii="標楷體" w:eastAsia="標楷體" w:hAnsi="標楷體" w:hint="eastAsia"/>
          <w:sz w:val="32"/>
          <w:szCs w:val="32"/>
        </w:rPr>
        <w:t xml:space="preserve">t exceeding 50 W solely for direct use as battery chargers I systems with the same voltage and power </w:t>
      </w:r>
      <w:r w:rsidRPr="00697DA8">
        <w:rPr>
          <w:rFonts w:ascii="標楷體" w:eastAsia="標楷體" w:hAnsi="標楷體"/>
          <w:sz w:val="32"/>
          <w:szCs w:val="32"/>
        </w:rPr>
        <w:t>characteristics</w:t>
      </w:r>
      <w:r>
        <w:rPr>
          <w:rFonts w:ascii="標楷體" w:eastAsia="標楷體" w:hAnsi="標楷體" w:hint="eastAsia"/>
          <w:sz w:val="32"/>
          <w:szCs w:val="32"/>
        </w:rPr>
        <w:t>.</w:t>
      </w:r>
    </w:p>
    <w:sectPr w:rsidR="00697DA8" w:rsidRPr="00697DA8" w:rsidSect="00B36A6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7A" w:rsidRDefault="00F8637A" w:rsidP="00D72F0A">
      <w:r>
        <w:separator/>
      </w:r>
    </w:p>
  </w:endnote>
  <w:endnote w:type="continuationSeparator" w:id="0">
    <w:p w:rsidR="00F8637A" w:rsidRDefault="00F8637A" w:rsidP="00D72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7A" w:rsidRDefault="00F8637A" w:rsidP="00D72F0A">
      <w:r>
        <w:separator/>
      </w:r>
    </w:p>
  </w:footnote>
  <w:footnote w:type="continuationSeparator" w:id="0">
    <w:p w:rsidR="00F8637A" w:rsidRDefault="00F8637A" w:rsidP="00D72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C1DA6"/>
    <w:multiLevelType w:val="hybridMultilevel"/>
    <w:tmpl w:val="440A9BBA"/>
    <w:lvl w:ilvl="0" w:tplc="8BCA41A2">
      <w:start w:val="1"/>
      <w:numFmt w:val="decim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5E77"/>
    <w:rsid w:val="00044BD6"/>
    <w:rsid w:val="00055517"/>
    <w:rsid w:val="00112762"/>
    <w:rsid w:val="001A336C"/>
    <w:rsid w:val="001B213D"/>
    <w:rsid w:val="001D0B5B"/>
    <w:rsid w:val="0045449C"/>
    <w:rsid w:val="00463364"/>
    <w:rsid w:val="00570536"/>
    <w:rsid w:val="005A117B"/>
    <w:rsid w:val="005E16B5"/>
    <w:rsid w:val="005E7A33"/>
    <w:rsid w:val="00661242"/>
    <w:rsid w:val="00697DA8"/>
    <w:rsid w:val="00751831"/>
    <w:rsid w:val="008C0630"/>
    <w:rsid w:val="008D0068"/>
    <w:rsid w:val="00927636"/>
    <w:rsid w:val="009408D6"/>
    <w:rsid w:val="009C0F64"/>
    <w:rsid w:val="00A25E77"/>
    <w:rsid w:val="00B36A67"/>
    <w:rsid w:val="00B54E93"/>
    <w:rsid w:val="00B61926"/>
    <w:rsid w:val="00D72F0A"/>
    <w:rsid w:val="00EA1C12"/>
    <w:rsid w:val="00EB6F24"/>
    <w:rsid w:val="00ED084C"/>
    <w:rsid w:val="00F57072"/>
    <w:rsid w:val="00F8637A"/>
    <w:rsid w:val="00FE45E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F0A"/>
    <w:pPr>
      <w:tabs>
        <w:tab w:val="center" w:pos="4153"/>
        <w:tab w:val="right" w:pos="8306"/>
      </w:tabs>
      <w:snapToGrid w:val="0"/>
    </w:pPr>
    <w:rPr>
      <w:sz w:val="20"/>
      <w:szCs w:val="20"/>
    </w:rPr>
  </w:style>
  <w:style w:type="character" w:customStyle="1" w:styleId="a4">
    <w:name w:val="頁首 字元"/>
    <w:basedOn w:val="a0"/>
    <w:link w:val="a3"/>
    <w:uiPriority w:val="99"/>
    <w:rsid w:val="00D72F0A"/>
    <w:rPr>
      <w:sz w:val="20"/>
      <w:szCs w:val="20"/>
    </w:rPr>
  </w:style>
  <w:style w:type="paragraph" w:styleId="a5">
    <w:name w:val="footer"/>
    <w:basedOn w:val="a"/>
    <w:link w:val="a6"/>
    <w:uiPriority w:val="99"/>
    <w:unhideWhenUsed/>
    <w:rsid w:val="00D72F0A"/>
    <w:pPr>
      <w:tabs>
        <w:tab w:val="center" w:pos="4153"/>
        <w:tab w:val="right" w:pos="8306"/>
      </w:tabs>
      <w:snapToGrid w:val="0"/>
    </w:pPr>
    <w:rPr>
      <w:sz w:val="20"/>
      <w:szCs w:val="20"/>
    </w:rPr>
  </w:style>
  <w:style w:type="character" w:customStyle="1" w:styleId="a6">
    <w:name w:val="頁尾 字元"/>
    <w:basedOn w:val="a0"/>
    <w:link w:val="a5"/>
    <w:uiPriority w:val="99"/>
    <w:rsid w:val="00D72F0A"/>
    <w:rPr>
      <w:sz w:val="20"/>
      <w:szCs w:val="20"/>
    </w:rPr>
  </w:style>
  <w:style w:type="paragraph" w:styleId="a7">
    <w:name w:val="List Paragraph"/>
    <w:basedOn w:val="a"/>
    <w:uiPriority w:val="34"/>
    <w:qFormat/>
    <w:rsid w:val="00697DA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陳怡禎</dc:creator>
  <cp:lastModifiedBy>侯綾玉</cp:lastModifiedBy>
  <cp:revision>2</cp:revision>
  <dcterms:created xsi:type="dcterms:W3CDTF">2015-06-01T04:06:00Z</dcterms:created>
  <dcterms:modified xsi:type="dcterms:W3CDTF">2015-06-01T04:06:00Z</dcterms:modified>
</cp:coreProperties>
</file>